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42" w:rsidRPr="00795B42" w:rsidRDefault="00795B42" w:rsidP="00DB6A67">
      <w:pPr>
        <w:snapToGrid w:val="0"/>
        <w:jc w:val="center"/>
        <w:outlineLvl w:val="0"/>
        <w:rPr>
          <w:rFonts w:ascii="宋体" w:eastAsia="宋体" w:hAnsi="宋体" w:cs="Times New Roman"/>
          <w:b/>
          <w:bCs/>
          <w:sz w:val="44"/>
          <w:szCs w:val="20"/>
        </w:rPr>
      </w:pPr>
      <w:r w:rsidRPr="00795B42">
        <w:rPr>
          <w:rFonts w:ascii="宋体" w:eastAsia="宋体" w:hAnsi="宋体" w:cs="Times New Roman" w:hint="eastAsia"/>
          <w:b/>
          <w:bCs/>
          <w:sz w:val="44"/>
          <w:szCs w:val="20"/>
        </w:rPr>
        <w:t>三、卫生设施</w:t>
      </w:r>
    </w:p>
    <w:p w:rsidR="00DB6A67" w:rsidRPr="00DB6A67" w:rsidRDefault="00DB6A67" w:rsidP="00DB6A67">
      <w:pPr>
        <w:keepNext/>
        <w:keepLines/>
        <w:widowControl/>
        <w:spacing w:before="960" w:after="180"/>
        <w:ind w:left="20" w:firstLine="420"/>
        <w:outlineLvl w:val="1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bookmark1"/>
      <w:r w:rsidRPr="00DB6A67">
        <w:rPr>
          <w:rFonts w:ascii="黑体" w:eastAsia="黑体" w:hAnsi="Times New Roman" w:cs="黑体" w:hint="eastAsia"/>
          <w:color w:val="0C2542"/>
          <w:kern w:val="0"/>
          <w:sz w:val="31"/>
          <w:szCs w:val="31"/>
          <w:lang w:val="zh-CN"/>
        </w:rPr>
        <w:t>简要说明</w:t>
      </w:r>
      <w:bookmarkEnd w:id="0"/>
    </w:p>
    <w:p w:rsidR="00DB6A67" w:rsidRPr="00DB6A67" w:rsidRDefault="00DB6A67" w:rsidP="00DB6A67">
      <w:pPr>
        <w:widowControl/>
        <w:spacing w:before="180" w:line="317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一、本章主要介绍全国及</w:t>
      </w:r>
      <w:r w:rsidRPr="00DB6A67">
        <w:rPr>
          <w:rFonts w:ascii="黑体" w:eastAsia="黑体" w:hAnsi="Times New Roman" w:cs="黑体"/>
          <w:color w:val="0C2542"/>
          <w:kern w:val="0"/>
          <w:szCs w:val="21"/>
          <w:lang w:val="zh-CN"/>
        </w:rPr>
        <w:t>31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个省、自治区、直辖市医疗卫生机构床位、医用设备和房屋面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积情况。主要包括各级各类医疗卫生机构床位数，医院、妇幼保健院、疾病预防控制中心主要医用设备数，各类医疗卫生机构房屋建筑面积等。</w:t>
      </w:r>
    </w:p>
    <w:p w:rsidR="00DB6A67" w:rsidRPr="00DB6A67" w:rsidRDefault="00DB6A67" w:rsidP="00DB6A67">
      <w:pPr>
        <w:widowControl/>
        <w:spacing w:line="317" w:lineRule="exact"/>
        <w:ind w:lef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244964"/>
          <w:kern w:val="0"/>
          <w:szCs w:val="21"/>
          <w:lang w:val="zh-CN"/>
        </w:rPr>
        <w:t>二、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本章数据来源于卫生资源统计年报。</w:t>
      </w:r>
    </w:p>
    <w:p w:rsidR="00DB6A67" w:rsidRPr="00DB6A67" w:rsidRDefault="00DB6A67" w:rsidP="00DB6A67">
      <w:pPr>
        <w:widowControl/>
        <w:spacing w:line="317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244964"/>
          <w:kern w:val="0"/>
          <w:szCs w:val="21"/>
          <w:lang w:val="zh-CN"/>
        </w:rPr>
        <w:t>三、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分科床位数中所列科室主要依据医疗机构《诊疗科目》。中医医院和专科医院床位的科</w:t>
      </w:r>
      <w:r w:rsidRPr="00DB6A67">
        <w:rPr>
          <w:rFonts w:ascii="黑体" w:eastAsia="黑体" w:hAnsi="Times New Roman" w:cs="黑体"/>
          <w:color w:val="041733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室归类原则：中医医院全部计入中医科，中西医结合医院全部计人中西医结合科，民族医院全部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计人民族医学科，妇幼保健院分别计人妇产科、儿科，儿童医院全部计人儿科，传染病院、麻风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病院全部计入传染科，疗养院、康复医院全部计入康复医学科，肿瘤医院全部计入肿瘤科，其他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专科医院计入相关科室。</w:t>
      </w:r>
    </w:p>
    <w:p w:rsidR="00DB6A67" w:rsidRPr="00DB6A67" w:rsidRDefault="00DB6A67" w:rsidP="00DB6A67">
      <w:pPr>
        <w:widowControl/>
        <w:spacing w:after="180" w:line="317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四、房屋面积统计口径和指标解释与《综合医院建设标准》、《妇幼保健院建设标准》、《乡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镇卫生院建设标准》、《防疫站建设标准》一致。</w:t>
      </w:r>
    </w:p>
    <w:p w:rsidR="00DB6A67" w:rsidRPr="00DB6A67" w:rsidRDefault="00DB6A67" w:rsidP="00DB6A67">
      <w:pPr>
        <w:keepNext/>
        <w:keepLines/>
        <w:widowControl/>
        <w:spacing w:before="180" w:after="180"/>
        <w:ind w:left="20" w:firstLine="420"/>
        <w:outlineLvl w:val="1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" w:name="bookmark2"/>
      <w:r w:rsidRPr="00DB6A67">
        <w:rPr>
          <w:rFonts w:ascii="黑体" w:eastAsia="黑体" w:hAnsi="Times New Roman" w:cs="黑体" w:hint="eastAsia"/>
          <w:color w:val="0C2542"/>
          <w:kern w:val="0"/>
          <w:sz w:val="31"/>
          <w:szCs w:val="31"/>
          <w:lang w:val="zh-CN"/>
        </w:rPr>
        <w:t>主要指标解释</w:t>
      </w:r>
      <w:bookmarkEnd w:id="1"/>
    </w:p>
    <w:p w:rsidR="00DB6A67" w:rsidRPr="00DB6A67" w:rsidRDefault="00DB6A67" w:rsidP="00DB6A67">
      <w:pPr>
        <w:widowControl/>
        <w:spacing w:before="180" w:line="312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床位数：指年底固定实有床位（非编制床位</w:t>
      </w:r>
      <w:r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）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，包括正规床、简易床、监护床、正在消毒和</w:t>
      </w:r>
      <w:r w:rsidRPr="00DB6A67">
        <w:rPr>
          <w:rFonts w:ascii="黑体" w:eastAsia="黑体" w:hAnsi="Times New Roman" w:cs="黑体"/>
          <w:color w:val="041733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修理床位、因扩建或大修而停用的床位，不包括产科新生儿床、</w:t>
      </w:r>
      <w:proofErr w:type="gramStart"/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接产室待</w:t>
      </w:r>
      <w:proofErr w:type="gramEnd"/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产床、库存床、观察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床、临时加床和病人家属陪侍床。</w:t>
      </w:r>
    </w:p>
    <w:p w:rsidR="00DB6A67" w:rsidRPr="00DB6A67" w:rsidRDefault="00DB6A67" w:rsidP="00DB6A67">
      <w:pPr>
        <w:widowControl/>
        <w:spacing w:line="312" w:lineRule="exact"/>
        <w:ind w:left="20" w:right="20" w:firstLine="420"/>
        <w:rPr>
          <w:rFonts w:ascii="黑体" w:eastAsia="黑体" w:hAnsi="Times New Roman" w:cs="黑体"/>
          <w:color w:val="0C2542"/>
          <w:kern w:val="0"/>
          <w:szCs w:val="21"/>
          <w:lang w:val="zh-CN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每千人口医疗卫生机构床位数：即医疗卫生机构床位数</w:t>
      </w:r>
      <w:r>
        <w:rPr>
          <w:rFonts w:ascii="Sylfaen" w:hAnsi="Sylfaen" w:cs="Sylfaen" w:hint="eastAsia"/>
          <w:color w:val="244964"/>
          <w:kern w:val="0"/>
          <w:sz w:val="17"/>
          <w:szCs w:val="17"/>
          <w:lang w:val="zh-CN"/>
        </w:rPr>
        <w:t>/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人口数</w:t>
      </w:r>
      <w:r w:rsidRPr="00DB6A67">
        <w:rPr>
          <w:rFonts w:ascii="Sylfaen" w:eastAsia="Times New Roman" w:hAnsi="Sylfaen" w:cs="Sylfaen"/>
          <w:color w:val="0C2542"/>
          <w:kern w:val="0"/>
          <w:sz w:val="17"/>
          <w:szCs w:val="17"/>
          <w:lang w:val="zh-CN"/>
        </w:rPr>
        <w:t>X</w:t>
      </w:r>
      <w:r w:rsidRPr="00DB6A67">
        <w:rPr>
          <w:rFonts w:ascii="黑体" w:eastAsia="黑体" w:hAnsi="Times New Roman" w:cs="黑体"/>
          <w:color w:val="0C2542"/>
          <w:kern w:val="0"/>
          <w:szCs w:val="21"/>
          <w:lang w:val="zh-CN"/>
        </w:rPr>
        <w:t>1000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。</w:t>
      </w:r>
      <w:proofErr w:type="gramStart"/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人口数系公安部</w:t>
      </w:r>
      <w:proofErr w:type="gramEnd"/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户籍人口。</w:t>
      </w:r>
    </w:p>
    <w:p w:rsidR="00DB6A67" w:rsidRPr="00DB6A67" w:rsidRDefault="00DB6A67" w:rsidP="00DB6A67">
      <w:pPr>
        <w:widowControl/>
        <w:spacing w:line="312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设备台数：指实有设备数，即单位实际拥有的、可供调配的设备，包括安装的和未安装的设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244964"/>
          <w:kern w:val="0"/>
          <w:szCs w:val="21"/>
          <w:lang w:val="zh-CN"/>
        </w:rPr>
        <w:t>备，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不包括已经批准报废的设备和已订购尚未运抵单位的设备。</w:t>
      </w:r>
    </w:p>
    <w:p w:rsidR="00DB6A67" w:rsidRPr="00DB6A67" w:rsidRDefault="00DB6A67" w:rsidP="00DB6A67">
      <w:pPr>
        <w:widowControl/>
        <w:spacing w:line="312" w:lineRule="exact"/>
        <w:ind w:lef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房屋建筑面积：指单位</w:t>
      </w:r>
      <w:proofErr w:type="gramStart"/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购建且有</w:t>
      </w:r>
      <w:proofErr w:type="gramEnd"/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产权证的房屋建筑面积，不包括租房面积。</w:t>
      </w:r>
    </w:p>
    <w:p w:rsidR="00DB6A67" w:rsidRPr="00DB6A67" w:rsidRDefault="00DB6A67" w:rsidP="00DB6A67">
      <w:pPr>
        <w:widowControl/>
        <w:spacing w:line="312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租房面积：医疗卫生机构使用的、无产权证的房屋建筑面积，无论其是否缴纳租金，均计人</w:t>
      </w:r>
      <w:r w:rsidRPr="00DB6A67">
        <w:rPr>
          <w:rFonts w:ascii="黑体" w:eastAsia="黑体" w:hAnsi="Times New Roman" w:cs="黑体"/>
          <w:color w:val="041733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租房面积。</w:t>
      </w:r>
    </w:p>
    <w:p w:rsidR="00DB6A67" w:rsidRPr="00DB6A67" w:rsidRDefault="00DB6A67" w:rsidP="00DB6A67">
      <w:pPr>
        <w:widowControl/>
        <w:spacing w:line="312" w:lineRule="exact"/>
        <w:ind w:left="20" w:right="20" w:firstLine="420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业务用房面积：医院包括门急诊、住院、医技科室、保障系统、行政管理和院内生活用房面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积；社区卫生服务中心和卫生院包括医疗、预防保健、行政后勤保障用房面积；妇幼保健院</w:t>
      </w:r>
      <w:r w:rsidRPr="00DB6A67">
        <w:rPr>
          <w:rFonts w:ascii="黑体" w:eastAsia="黑体" w:hAnsi="Times New Roman" w:cs="黑体"/>
          <w:color w:val="041733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/>
          <w:color w:val="0C2542"/>
          <w:kern w:val="0"/>
          <w:szCs w:val="21"/>
          <w:lang w:val="zh-CN"/>
        </w:rPr>
        <w:t>(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所、站）包括医疗保健、医技、行政后勤保障等用房面积；专科疾病防治院（所、站）包括医</w:t>
      </w:r>
      <w:r w:rsidRPr="00DB6A67">
        <w:rPr>
          <w:rFonts w:ascii="黑体" w:eastAsia="黑体" w:hAnsi="Times New Roman" w:cs="黑体" w:hint="eastAsia"/>
          <w:color w:val="244964"/>
          <w:kern w:val="0"/>
          <w:szCs w:val="21"/>
          <w:lang w:val="zh-CN"/>
        </w:rPr>
        <w:t>疗、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医技、疾控、行政后勤保障等用房面积；疾病预防控制中心（防疫站）包括检验、疾病控</w:t>
      </w:r>
      <w:r w:rsidRPr="00DB6A67">
        <w:rPr>
          <w:rFonts w:ascii="黑体" w:eastAsia="黑体" w:hAnsi="Times New Roman" w:cs="黑体"/>
          <w:color w:val="0A2846"/>
          <w:kern w:val="0"/>
          <w:szCs w:val="21"/>
          <w:lang w:val="zh-CN"/>
        </w:rPr>
        <w:t xml:space="preserve"> </w:t>
      </w:r>
      <w:r w:rsidRPr="00DB6A67">
        <w:rPr>
          <w:rFonts w:ascii="黑体" w:eastAsia="黑体" w:hAnsi="Times New Roman" w:cs="黑体" w:hint="eastAsia"/>
          <w:color w:val="244964"/>
          <w:kern w:val="0"/>
          <w:szCs w:val="21"/>
          <w:lang w:val="zh-CN"/>
        </w:rPr>
        <w:t>制、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行政后勤保障等用房面积。</w:t>
      </w:r>
    </w:p>
    <w:p w:rsidR="003C38FF" w:rsidRPr="00795B42" w:rsidRDefault="00DB6A67" w:rsidP="00DB6A67">
      <w:pPr>
        <w:widowControl/>
        <w:spacing w:line="312" w:lineRule="exact"/>
        <w:ind w:left="20" w:firstLine="420"/>
        <w:rPr>
          <w:rFonts w:ascii="宋体" w:eastAsia="宋体" w:hAnsi="宋体" w:cs="Times New Roman"/>
          <w:b/>
          <w:bCs/>
          <w:kern w:val="0"/>
          <w:sz w:val="30"/>
          <w:szCs w:val="21"/>
        </w:rPr>
      </w:pP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每床占用业务用房面积：即业务用房面积</w:t>
      </w:r>
      <w:r>
        <w:rPr>
          <w:rFonts w:ascii="黑体" w:eastAsia="黑体" w:hAnsi="Times New Roman" w:cs="黑体" w:hint="eastAsia"/>
          <w:color w:val="244964"/>
          <w:kern w:val="0"/>
          <w:szCs w:val="21"/>
          <w:lang w:val="zh-CN"/>
        </w:rPr>
        <w:t>/</w:t>
      </w:r>
      <w:r w:rsidRPr="00DB6A67">
        <w:rPr>
          <w:rFonts w:ascii="黑体" w:eastAsia="黑体" w:hAnsi="Times New Roman" w:cs="黑体" w:hint="eastAsia"/>
          <w:color w:val="0C2542"/>
          <w:kern w:val="0"/>
          <w:szCs w:val="21"/>
          <w:lang w:val="zh-CN"/>
        </w:rPr>
        <w:t>床位数。</w:t>
      </w:r>
    </w:p>
    <w:sectPr w:rsidR="003C38FF" w:rsidRPr="00795B42" w:rsidSect="003C3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71B" w:rsidRDefault="00ED771B" w:rsidP="00DB6A67">
      <w:r>
        <w:separator/>
      </w:r>
    </w:p>
  </w:endnote>
  <w:endnote w:type="continuationSeparator" w:id="0">
    <w:p w:rsidR="00ED771B" w:rsidRDefault="00ED771B" w:rsidP="00DB6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71B" w:rsidRDefault="00ED771B" w:rsidP="00DB6A67">
      <w:r>
        <w:separator/>
      </w:r>
    </w:p>
  </w:footnote>
  <w:footnote w:type="continuationSeparator" w:id="0">
    <w:p w:rsidR="00ED771B" w:rsidRDefault="00ED771B" w:rsidP="00DB6A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5B42"/>
    <w:rsid w:val="003C38FF"/>
    <w:rsid w:val="0065630A"/>
    <w:rsid w:val="00795B42"/>
    <w:rsid w:val="00DB6A67"/>
    <w:rsid w:val="00ED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unhideWhenUsed/>
    <w:rsid w:val="00795B42"/>
    <w:rPr>
      <w:rFonts w:ascii="Courier New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semiHidden/>
    <w:rsid w:val="00795B42"/>
    <w:rPr>
      <w:rFonts w:ascii="Courier New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DB6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6A6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B6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B6A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Company>微软中国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</cp:revision>
  <dcterms:created xsi:type="dcterms:W3CDTF">2010-10-12T07:40:00Z</dcterms:created>
  <dcterms:modified xsi:type="dcterms:W3CDTF">2011-11-03T09:44:00Z</dcterms:modified>
</cp:coreProperties>
</file>